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0F" w:rsidRPr="00C601D3" w:rsidRDefault="00161C0F" w:rsidP="00161C0F">
      <w:pPr>
        <w:pStyle w:val="NoSpacing"/>
        <w:jc w:val="right"/>
        <w:rPr>
          <w:rFonts w:ascii="Times New Roman" w:hAnsi="Times New Roman"/>
          <w:b/>
          <w:bCs/>
          <w:sz w:val="24"/>
          <w:szCs w:val="24"/>
          <w:lang w:val="ro-RO"/>
        </w:rPr>
      </w:pPr>
      <w:r w:rsidRPr="00C601D3">
        <w:rPr>
          <w:rFonts w:ascii="Times New Roman" w:hAnsi="Times New Roman"/>
          <w:b/>
          <w:bCs/>
          <w:sz w:val="24"/>
          <w:szCs w:val="24"/>
          <w:lang w:val="ro-RO"/>
        </w:rPr>
        <w:t>Anexa nr. 16</w:t>
      </w:r>
    </w:p>
    <w:p w:rsidR="00161C0F" w:rsidRPr="008025B6" w:rsidRDefault="00161C0F" w:rsidP="00161C0F">
      <w:pPr>
        <w:pStyle w:val="NoSpacing"/>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161C0F" w:rsidRPr="008025B6" w:rsidRDefault="00161C0F" w:rsidP="00161C0F">
      <w:pPr>
        <w:pStyle w:val="NoSpacing"/>
        <w:jc w:val="right"/>
        <w:rPr>
          <w:rFonts w:ascii="Times New Roman" w:hAnsi="Times New Roman"/>
          <w:b/>
          <w:bCs/>
          <w:sz w:val="24"/>
          <w:szCs w:val="24"/>
          <w:lang w:val="ro-RO"/>
        </w:rPr>
      </w:pPr>
      <w:r w:rsidRPr="008025B6">
        <w:rPr>
          <w:rFonts w:ascii="Times New Roman" w:hAnsi="Times New Roman"/>
          <w:sz w:val="24"/>
          <w:szCs w:val="24"/>
          <w:lang w:val="ro-RO"/>
        </w:rPr>
        <w:t>şi procedurile de înregistrare a valorilor mobiliare</w:t>
      </w:r>
    </w:p>
    <w:p w:rsidR="00161C0F" w:rsidRPr="008025B6" w:rsidRDefault="00161C0F" w:rsidP="00161C0F">
      <w:pPr>
        <w:pStyle w:val="NoSpacing"/>
        <w:jc w:val="both"/>
        <w:rPr>
          <w:rFonts w:ascii="Times New Roman" w:hAnsi="Times New Roman"/>
          <w:b/>
          <w:bCs/>
          <w:lang w:val="ro-RO"/>
        </w:rPr>
      </w:pPr>
    </w:p>
    <w:p w:rsidR="00161C0F" w:rsidRPr="00E42DD5" w:rsidRDefault="00161C0F" w:rsidP="00161C0F">
      <w:pPr>
        <w:pStyle w:val="norm"/>
        <w:jc w:val="center"/>
        <w:rPr>
          <w:b/>
          <w:bCs/>
          <w:lang w:val="ro-RO"/>
        </w:rPr>
      </w:pPr>
      <w:r w:rsidRPr="008025B6">
        <w:rPr>
          <w:b/>
          <w:lang w:val="ro-RO"/>
        </w:rPr>
        <w:t>Informații suplimentare care însoțe</w:t>
      </w:r>
      <w:r w:rsidRPr="00E42DD5">
        <w:rPr>
          <w:b/>
          <w:lang w:val="ro-RO"/>
        </w:rPr>
        <w:t>sc Nota privind valorile mobiliare în cadrul ofertei de obligațiuni  garantate cu active</w:t>
      </w:r>
    </w:p>
    <w:tbl>
      <w:tblPr>
        <w:tblW w:w="5393" w:type="pct"/>
        <w:tblInd w:w="-534"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501"/>
        <w:gridCol w:w="9284"/>
      </w:tblGrid>
      <w:tr w:rsidR="00161C0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FE7259" w:rsidRDefault="00161C0F" w:rsidP="00684656">
            <w:pPr>
              <w:pStyle w:val="NoSpacing"/>
              <w:jc w:val="center"/>
              <w:rPr>
                <w:rFonts w:ascii="Times New Roman" w:hAnsi="Times New Roman"/>
                <w:lang w:val="ro-RO"/>
              </w:rPr>
            </w:pPr>
            <w:r w:rsidRPr="00FE7259">
              <w:rPr>
                <w:rFonts w:ascii="Times New Roman" w:hAnsi="Times New Roman"/>
                <w:b/>
                <w:bCs/>
                <w:lang w:val="ro-RO"/>
              </w:rPr>
              <w:t>1. TITLURILE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rPr>
                <w:rFonts w:ascii="Times New Roman" w:hAnsi="Times New Roman"/>
                <w:lang w:val="ro-RO"/>
              </w:rPr>
            </w:pPr>
            <w:r w:rsidRPr="00A053D8">
              <w:rPr>
                <w:rFonts w:ascii="Times New Roman" w:hAnsi="Times New Roman"/>
                <w:b/>
                <w:bCs/>
                <w:lang w:val="ro-RO"/>
              </w:rPr>
              <w:t>1)</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rPr>
                <w:rFonts w:ascii="Times New Roman" w:hAnsi="Times New Roman"/>
                <w:lang w:val="ro-RO"/>
              </w:rPr>
            </w:pPr>
            <w:r w:rsidRPr="00A053D8">
              <w:rPr>
                <w:rFonts w:ascii="Times New Roman" w:hAnsi="Times New Roman"/>
                <w:lang w:val="ro-RO"/>
              </w:rPr>
              <w:t>Valoarea nominală minimă a unei emisiuni.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rPr>
                <w:rFonts w:ascii="Times New Roman" w:hAnsi="Times New Roman"/>
                <w:lang w:val="ro-RO"/>
              </w:rPr>
            </w:pPr>
            <w:r w:rsidRPr="00A053D8">
              <w:rPr>
                <w:rFonts w:ascii="Times New Roman" w:hAnsi="Times New Roman"/>
                <w:b/>
                <w:bCs/>
                <w:lang w:val="ro-RO"/>
              </w:rPr>
              <w:t>2)</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ind w:right="151"/>
              <w:jc w:val="both"/>
              <w:rPr>
                <w:rFonts w:ascii="Times New Roman" w:hAnsi="Times New Roman"/>
                <w:sz w:val="24"/>
                <w:szCs w:val="24"/>
                <w:lang w:val="ro-RO"/>
              </w:rPr>
            </w:pPr>
            <w:r w:rsidRPr="00A053D8">
              <w:rPr>
                <w:rFonts w:ascii="Times New Roman" w:hAnsi="Times New Roman"/>
                <w:lang w:val="ro-RO"/>
              </w:rPr>
              <w:t>În cazul în care se furnizează informații privind o întreprindere/un debitor</w:t>
            </w:r>
            <w:r w:rsidRPr="00005B72">
              <w:rPr>
                <w:rFonts w:ascii="Times New Roman" w:hAnsi="Times New Roman"/>
                <w:lang w:val="ro-RO"/>
              </w:rPr>
              <w:t>, altele decăt emitentul de obligațiuni (ex.emitentul garanției), o confirmare a faptului că aceste informații reproduc cu acuratețe informațiil</w:t>
            </w:r>
            <w:r w:rsidRPr="00C601D3">
              <w:rPr>
                <w:rFonts w:ascii="Times New Roman" w:hAnsi="Times New Roman"/>
                <w:lang w:val="ro-RO"/>
              </w:rPr>
              <w:t>e publicate de întreprinderea/debitorul în cauză. O confirmare a faptului că, după cunoștințele emitentului și în măsura în care acesta poate să confirme, având în vedere datele publicate de întreprinderea/debitorul în cauză, nu au fost omise fapte care ar face ca informațiile reproduse să fie incorecte sau să inducă în eroare.</w:t>
            </w:r>
          </w:p>
          <w:p w:rsidR="00161C0F" w:rsidRPr="008025B6" w:rsidRDefault="00161C0F" w:rsidP="00684656">
            <w:pPr>
              <w:pStyle w:val="NoSpacing"/>
              <w:ind w:right="151"/>
              <w:jc w:val="both"/>
              <w:rPr>
                <w:rFonts w:ascii="Times New Roman" w:hAnsi="Times New Roman"/>
                <w:sz w:val="24"/>
                <w:szCs w:val="24"/>
                <w:lang w:val="ro-RO"/>
              </w:rPr>
            </w:pPr>
            <w:r w:rsidRPr="00C601D3">
              <w:rPr>
                <w:rFonts w:ascii="Times New Roman" w:hAnsi="Times New Roman"/>
                <w:lang w:val="ro-RO"/>
              </w:rPr>
              <w:t>Se menționează, de asemenea, sursa (sursele) informațiilor menționate în nota privind valorile mobiliare care reproduc informații publicate de întreprinderea/debitorul în cauză.</w:t>
            </w:r>
          </w:p>
        </w:tc>
      </w:tr>
      <w:tr w:rsidR="00161C0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ind w:left="142" w:right="151"/>
              <w:jc w:val="center"/>
              <w:rPr>
                <w:rFonts w:ascii="Times New Roman" w:hAnsi="Times New Roman"/>
                <w:sz w:val="24"/>
                <w:szCs w:val="24"/>
                <w:lang w:val="ro-RO"/>
              </w:rPr>
            </w:pPr>
            <w:r w:rsidRPr="00A053D8">
              <w:rPr>
                <w:rFonts w:ascii="Times New Roman" w:hAnsi="Times New Roman"/>
                <w:b/>
                <w:bCs/>
                <w:lang w:val="ro-RO"/>
              </w:rPr>
              <w:t>2. ACTIVE SUBIACENTE (activele-garanție</w:t>
            </w:r>
            <w:r w:rsidRPr="00005B72">
              <w:rPr>
                <w:rFonts w:ascii="Times New Roman" w:hAnsi="Times New Roman"/>
                <w:b/>
                <w:bCs/>
                <w:lang w:val="ro-RO"/>
              </w:rPr>
              <w:t>)</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 confirmare a faptului că, datorită caracteristicilor lor, activele subiacente</w:t>
            </w:r>
            <w:r w:rsidRPr="00005B72">
              <w:rPr>
                <w:rFonts w:ascii="Times New Roman" w:hAnsi="Times New Roman"/>
                <w:lang w:val="ro-RO"/>
              </w:rPr>
              <w:t xml:space="preserve"> (care servesc ca surse de garanție)  au capacitatea de a genera fluxurile financiare necesare pentru serviciul plăților datorate și ex</w:t>
            </w:r>
            <w:r w:rsidRPr="00C601D3">
              <w:rPr>
                <w:rFonts w:ascii="Times New Roman" w:hAnsi="Times New Roman"/>
                <w:lang w:val="ro-RO"/>
              </w:rPr>
              <w:t>igibile în cadrul emisiunii de obligațiuni.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 xml:space="preserve">În cazul în care emisiunea este garantată de un grup de active subiacente </w:t>
            </w:r>
            <w:r w:rsidRPr="00005B72">
              <w:rPr>
                <w:rFonts w:ascii="Times New Roman" w:hAnsi="Times New Roman"/>
                <w:lang w:val="ro-RO"/>
              </w:rPr>
              <w:t>identificate, se indică:</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a)</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L</w:t>
            </w:r>
            <w:r w:rsidRPr="00005B72">
              <w:rPr>
                <w:rFonts w:ascii="Times New Roman" w:hAnsi="Times New Roman"/>
                <w:lang w:val="ro-RO"/>
              </w:rPr>
              <w:t>egislația care reglementează acest grup de active;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b)</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D</w:t>
            </w:r>
            <w:r w:rsidRPr="00005B72">
              <w:rPr>
                <w:rFonts w:ascii="Times New Roman" w:hAnsi="Times New Roman"/>
                <w:lang w:val="ro-RO"/>
              </w:rPr>
              <w:t>acă debitorii sunt puțin numeroși și ușor identificabili, o descriere generală a fiecăruia dintre ei;</w:t>
            </w:r>
            <w:r w:rsidRPr="00C601D3">
              <w:rPr>
                <w:rFonts w:ascii="Times New Roman" w:hAnsi="Times New Roman"/>
                <w:lang w:val="ro-RO"/>
              </w:rPr>
              <w:t xml:space="preserve"> în orice alte cazuri, o descriere a caracteristicilor generale ale debitorilor și ale mediului economic și date statistice globale privind activele subiacente;</w:t>
            </w:r>
          </w:p>
        </w:tc>
      </w:tr>
      <w:tr w:rsidR="00161C0F" w:rsidRPr="00A053D8"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c)</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rPr>
                <w:rFonts w:ascii="Times New Roman" w:hAnsi="Times New Roman"/>
                <w:sz w:val="24"/>
                <w:szCs w:val="24"/>
                <w:lang w:val="ro-RO"/>
              </w:rPr>
            </w:pPr>
            <w:r w:rsidRPr="00A053D8">
              <w:rPr>
                <w:rFonts w:ascii="Times New Roman" w:hAnsi="Times New Roman"/>
                <w:lang w:val="ro-RO"/>
              </w:rPr>
              <w:t>N</w:t>
            </w:r>
            <w:r w:rsidRPr="00005B72">
              <w:rPr>
                <w:rFonts w:ascii="Times New Roman" w:hAnsi="Times New Roman"/>
                <w:lang w:val="ro-RO"/>
              </w:rPr>
              <w:t>atura juridică a activelor;</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d)</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rPr>
                <w:rFonts w:ascii="Times New Roman" w:hAnsi="Times New Roman"/>
                <w:sz w:val="24"/>
                <w:szCs w:val="24"/>
                <w:lang w:val="ro-RO"/>
              </w:rPr>
            </w:pPr>
            <w:r w:rsidRPr="00A053D8">
              <w:rPr>
                <w:rFonts w:ascii="Times New Roman" w:hAnsi="Times New Roman"/>
                <w:lang w:val="ro-RO"/>
              </w:rPr>
              <w:t>D</w:t>
            </w:r>
            <w:r w:rsidRPr="00005B72">
              <w:rPr>
                <w:rFonts w:ascii="Times New Roman" w:hAnsi="Times New Roman"/>
                <w:lang w:val="ro-RO"/>
              </w:rPr>
              <w:t>ata (datele) scadenței sau stingerii activelor;</w:t>
            </w:r>
          </w:p>
        </w:tc>
      </w:tr>
      <w:tr w:rsidR="00161C0F" w:rsidRPr="00A053D8"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e)</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rPr>
                <w:rFonts w:ascii="Times New Roman" w:hAnsi="Times New Roman"/>
                <w:sz w:val="24"/>
                <w:szCs w:val="24"/>
                <w:lang w:val="ro-RO"/>
              </w:rPr>
            </w:pPr>
            <w:r w:rsidRPr="00A053D8">
              <w:rPr>
                <w:rFonts w:ascii="Times New Roman" w:hAnsi="Times New Roman"/>
                <w:lang w:val="ro-RO"/>
              </w:rPr>
              <w:t>V</w:t>
            </w:r>
            <w:r w:rsidRPr="00005B72">
              <w:rPr>
                <w:rFonts w:ascii="Times New Roman" w:hAnsi="Times New Roman"/>
                <w:lang w:val="ro-RO"/>
              </w:rPr>
              <w:t>aloarea activelor;</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f)</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rPr>
                <w:rFonts w:ascii="Times New Roman" w:hAnsi="Times New Roman"/>
                <w:sz w:val="24"/>
                <w:szCs w:val="24"/>
                <w:lang w:val="ro-RO"/>
              </w:rPr>
            </w:pPr>
            <w:r w:rsidRPr="00A053D8">
              <w:rPr>
                <w:rFonts w:ascii="Times New Roman" w:hAnsi="Times New Roman"/>
                <w:lang w:val="ro-RO"/>
              </w:rPr>
              <w:t>Ra</w:t>
            </w:r>
            <w:r w:rsidRPr="00005B72">
              <w:rPr>
                <w:rFonts w:ascii="Times New Roman" w:hAnsi="Times New Roman"/>
                <w:lang w:val="ro-RO"/>
              </w:rPr>
              <w:t>portul împrumut/valoare sau nivelul de garantare;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g)</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M</w:t>
            </w:r>
            <w:r w:rsidRPr="00005B72">
              <w:rPr>
                <w:rFonts w:ascii="Times New Roman" w:hAnsi="Times New Roman"/>
                <w:lang w:val="ro-RO"/>
              </w:rPr>
              <w:t>etoda de creare a activelor subiacente</w:t>
            </w:r>
            <w:r w:rsidRPr="00C601D3">
              <w:rPr>
                <w:rFonts w:ascii="Times New Roman" w:hAnsi="Times New Roman"/>
                <w:lang w:val="ro-RO"/>
              </w:rPr>
              <w:t xml:space="preserve"> și, pentru împrumuturi și contracte de credit, principalele criterii de acordare; se indică, de asemenea, împrumuturile care nu îndeplinesc criteriile corespunzătoare și eventualele drepturi și obligații de a proceda la alte avansuri;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h)</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D</w:t>
            </w:r>
            <w:r w:rsidRPr="00005B72">
              <w:rPr>
                <w:rFonts w:ascii="Times New Roman" w:hAnsi="Times New Roman"/>
                <w:lang w:val="ro-RO"/>
              </w:rPr>
              <w:t>eclarațiile și garanțiile importante furnizate emitentului în ceea ce privește activele;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i)</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E</w:t>
            </w:r>
            <w:r w:rsidRPr="00005B72">
              <w:rPr>
                <w:rFonts w:ascii="Times New Roman" w:hAnsi="Times New Roman"/>
                <w:lang w:val="ro-RO"/>
              </w:rPr>
              <w:t>ventuale drepturi de substituire a activelor, modalitățile de substituire și tipurile de active care pot fi substituite; eventualele posibilități de a substitui un activ cu un alt activ, dintr-o altă categorie sau de o calitate diferită, precum și o descriere a impa</w:t>
            </w:r>
            <w:r w:rsidRPr="00C601D3">
              <w:rPr>
                <w:rFonts w:ascii="Times New Roman" w:hAnsi="Times New Roman"/>
                <w:lang w:val="ro-RO"/>
              </w:rPr>
              <w:t>ctului unei astfel de substituiri;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j)</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w:t>
            </w:r>
            <w:r w:rsidRPr="00005B72">
              <w:rPr>
                <w:rFonts w:ascii="Times New Roman" w:hAnsi="Times New Roman"/>
                <w:lang w:val="ro-RO"/>
              </w:rPr>
              <w:t>rice poliță de asigurare relevantă privind activele. Trebuie divulgată orice concentrare cu un singur asigurător, dacă are o importanță semnificativă pentru tranzacție;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k)</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În cazul în care activele subiacente conțin obligațiuni emise de cel mult 5 debitori obligatari persoane juridice sau dacă unul dintre debitorii</w:t>
            </w:r>
            <w:r w:rsidRPr="00005B72">
              <w:rPr>
                <w:rFonts w:ascii="Times New Roman" w:hAnsi="Times New Roman"/>
                <w:lang w:val="ro-RO"/>
              </w:rPr>
              <w:t xml:space="preserve"> obligatari reprezintă cel puțin 20% sau o parte importantă din aceste active, în măsura în care emitentul cunoaște aceste informații și le poate confirma, având în vedere datele publicate de către debitorul(ii) în cauză:</w:t>
            </w:r>
          </w:p>
          <w:p w:rsidR="00161C0F" w:rsidRPr="008025B6"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C601D3">
              <w:rPr>
                <w:rFonts w:ascii="Times New Roman" w:hAnsi="Times New Roman"/>
                <w:lang w:val="ro-RO"/>
              </w:rPr>
              <w:t xml:space="preserve">a) se furnizează, pentru fiecare debitor obligatar, informațiile care ar fi solicitate dacă acesta ar fi emitentul care elaborează documentul de înregistrare pentru titluri de împrumut și instrumente derivate cu o valoare nominală unitară de cel puțin echivalentul în lei a 50 000 de </w:t>
            </w:r>
            <w:r w:rsidRPr="008025B6">
              <w:rPr>
                <w:rFonts w:ascii="Times New Roman" w:hAnsi="Times New Roman"/>
                <w:lang w:val="ro-RO"/>
              </w:rPr>
              <w:t>euro sau;</w:t>
            </w:r>
          </w:p>
          <w:p w:rsidR="00161C0F" w:rsidRPr="00E42DD5" w:rsidRDefault="00161C0F" w:rsidP="00684656">
            <w:pPr>
              <w:pStyle w:val="NoSpacing"/>
              <w:widowControl w:val="0"/>
              <w:autoSpaceDE w:val="0"/>
              <w:autoSpaceDN w:val="0"/>
              <w:adjustRightInd w:val="0"/>
              <w:ind w:right="151"/>
              <w:jc w:val="both"/>
              <w:rPr>
                <w:rFonts w:ascii="Times New Roman" w:hAnsi="Times New Roman"/>
                <w:vanish/>
                <w:sz w:val="24"/>
                <w:szCs w:val="24"/>
                <w:lang w:val="ro-RO"/>
              </w:rPr>
            </w:pPr>
            <w:r w:rsidRPr="008025B6">
              <w:rPr>
                <w:rFonts w:ascii="Times New Roman" w:hAnsi="Times New Roman"/>
                <w:lang w:val="ro-RO"/>
              </w:rPr>
              <w:t xml:space="preserve">b) în cazul în care un debitor obligatar sau un garant dispune de titluri deja admise la tranzacționare, pe o piață reglementată sau pe o piață echivalentă, sau în cazul în care obligațiunile sunt garantate de către o entitate admisă la tranzacționare, pe o piață reglementată sau pe o piață echivalentă, se indică doar </w:t>
            </w:r>
            <w:r w:rsidRPr="00E42DD5">
              <w:rPr>
                <w:rFonts w:ascii="Times New Roman" w:hAnsi="Times New Roman"/>
                <w:lang w:val="ro-RO"/>
              </w:rPr>
              <w:t>numele debitorului sau al garantului, adresa, țara în care a fost constituit, natura întreprinderii și denumirea pieței pe care sunt tranzacționate titlurile sale.</w:t>
            </w:r>
          </w:p>
          <w:p w:rsidR="00161C0F" w:rsidRPr="00E42DD5" w:rsidRDefault="00161C0F" w:rsidP="00684656">
            <w:pPr>
              <w:pStyle w:val="NoSpacing"/>
              <w:widowControl w:val="0"/>
              <w:autoSpaceDE w:val="0"/>
              <w:autoSpaceDN w:val="0"/>
              <w:adjustRightInd w:val="0"/>
              <w:ind w:left="142" w:right="151"/>
              <w:jc w:val="both"/>
              <w:rPr>
                <w:rFonts w:ascii="Times New Roman" w:hAnsi="Times New Roman"/>
                <w:sz w:val="24"/>
                <w:szCs w:val="24"/>
                <w:lang w:val="ro-RO"/>
              </w:rPr>
            </w:pP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lastRenderedPageBreak/>
              <w:t>l)</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Dacă între emitent,</w:t>
            </w:r>
            <w:r w:rsidRPr="00005B72">
              <w:rPr>
                <w:rFonts w:ascii="Times New Roman" w:hAnsi="Times New Roman"/>
                <w:lang w:val="ro-RO"/>
              </w:rPr>
              <w:t xml:space="preserve"> garant și debitorul obligatar există o relație care ar putea avea o influență semnificativă asupra emisiunii, o descriere a principalelor caracteristici ale relației în cauză</w:t>
            </w:r>
            <w:r w:rsidRPr="00C601D3">
              <w:rPr>
                <w:rFonts w:ascii="Times New Roman" w:hAnsi="Times New Roman"/>
                <w:lang w:val="ro-RO"/>
              </w:rPr>
              <w:t>;</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m)</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8025B6"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 xml:space="preserve">În cazul în care activele subiacente includ </w:t>
            </w:r>
            <w:r w:rsidRPr="00005B72">
              <w:rPr>
                <w:rFonts w:ascii="Times New Roman" w:hAnsi="Times New Roman"/>
                <w:lang w:val="ro-RO"/>
              </w:rPr>
              <w:t>titluri de capitaluri proprii</w:t>
            </w:r>
            <w:r w:rsidRPr="00C601D3">
              <w:rPr>
                <w:rFonts w:ascii="Times New Roman" w:hAnsi="Times New Roman"/>
                <w:lang w:val="ro-RO"/>
              </w:rPr>
              <w:t xml:space="preserve"> care nu sunt tranzacționate pe o piață reglementată sau pe o piață echivalentă, o descriere a principalelor condiții ale acestor titluri;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n)</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În cazul în care activele subiacente includ titluri de capitaluri proprii care sunt admise la tranzacționare pe o p</w:t>
            </w:r>
            <w:r w:rsidRPr="00005B72">
              <w:rPr>
                <w:rFonts w:ascii="Times New Roman" w:hAnsi="Times New Roman"/>
                <w:lang w:val="ro-RO"/>
              </w:rPr>
              <w:t>iață reglementată sau pe o piață echivalentă:</w:t>
            </w:r>
          </w:p>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C601D3">
              <w:rPr>
                <w:rFonts w:ascii="Times New Roman" w:hAnsi="Times New Roman"/>
                <w:lang w:val="ro-RO"/>
              </w:rPr>
              <w:t>a) o descriere a titlurilor;</w:t>
            </w:r>
          </w:p>
          <w:p w:rsidR="00161C0F" w:rsidRPr="008025B6"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C601D3">
              <w:rPr>
                <w:rFonts w:ascii="Times New Roman" w:hAnsi="Times New Roman"/>
                <w:lang w:val="ro-RO"/>
              </w:rPr>
              <w:t xml:space="preserve">b) o descriere a pieței pe care sunt tranzacționate titlurile, menționând data înființării, modalitățile de publicare a informațiilor </w:t>
            </w:r>
            <w:r w:rsidRPr="008025B6">
              <w:rPr>
                <w:rFonts w:ascii="Times New Roman" w:hAnsi="Times New Roman"/>
                <w:lang w:val="ro-RO"/>
              </w:rPr>
              <w:t>privind cursurile, volumul zilnic al tranzacțiilor, importanța pieței în țara în cauză și denumirea autorității de reglementare a pieței respective;</w:t>
            </w:r>
          </w:p>
          <w:p w:rsidR="00161C0F" w:rsidRPr="008025B6" w:rsidRDefault="00161C0F" w:rsidP="00684656">
            <w:pPr>
              <w:pStyle w:val="NoSpacing"/>
              <w:widowControl w:val="0"/>
              <w:autoSpaceDE w:val="0"/>
              <w:autoSpaceDN w:val="0"/>
              <w:adjustRightInd w:val="0"/>
              <w:ind w:right="151"/>
              <w:jc w:val="both"/>
              <w:rPr>
                <w:rFonts w:ascii="Times New Roman" w:hAnsi="Times New Roman"/>
                <w:vanish/>
                <w:sz w:val="24"/>
                <w:szCs w:val="24"/>
                <w:lang w:val="ro-RO"/>
              </w:rPr>
            </w:pPr>
            <w:r w:rsidRPr="008025B6">
              <w:rPr>
                <w:rFonts w:ascii="Times New Roman" w:hAnsi="Times New Roman"/>
                <w:lang w:val="ro-RO"/>
              </w:rPr>
              <w:t>c) frecvența cu care sunt publicate cursurile titlurilor în cauză.</w:t>
            </w:r>
          </w:p>
          <w:p w:rsidR="00161C0F" w:rsidRPr="008025B6" w:rsidRDefault="00161C0F" w:rsidP="00684656">
            <w:pPr>
              <w:pStyle w:val="NoSpacing"/>
              <w:widowControl w:val="0"/>
              <w:autoSpaceDE w:val="0"/>
              <w:autoSpaceDN w:val="0"/>
              <w:adjustRightInd w:val="0"/>
              <w:ind w:left="142" w:right="151"/>
              <w:jc w:val="both"/>
              <w:rPr>
                <w:rFonts w:ascii="Times New Roman" w:hAnsi="Times New Roman"/>
                <w:vanish/>
                <w:sz w:val="24"/>
                <w:szCs w:val="24"/>
                <w:lang w:val="ro-RO"/>
              </w:rPr>
            </w:pPr>
          </w:p>
          <w:p w:rsidR="00161C0F" w:rsidRPr="008025B6" w:rsidRDefault="00161C0F" w:rsidP="00684656">
            <w:pPr>
              <w:pStyle w:val="NoSpacing"/>
              <w:widowControl w:val="0"/>
              <w:autoSpaceDE w:val="0"/>
              <w:autoSpaceDN w:val="0"/>
              <w:adjustRightInd w:val="0"/>
              <w:ind w:left="142" w:right="151"/>
              <w:jc w:val="both"/>
              <w:rPr>
                <w:rFonts w:ascii="Times New Roman" w:hAnsi="Times New Roman"/>
                <w:sz w:val="24"/>
                <w:szCs w:val="24"/>
                <w:lang w:val="ro-RO"/>
              </w:rPr>
            </w:pP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o)</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 xml:space="preserve">În cazul în care activele subiacente includ peste 10 % titluri de capitaluri proprii care nu sunt tranzacționate pe o piață reglementată sau pe o piață echivalentă, o descriere a titlurilor în cauză, însoțită de informații echivalente cu cele prevăzute în </w:t>
            </w:r>
            <w:r w:rsidRPr="00005B72">
              <w:rPr>
                <w:rFonts w:ascii="Times New Roman" w:hAnsi="Times New Roman"/>
                <w:lang w:val="ro-RO"/>
              </w:rPr>
              <w:t>schema documentului de înregistrare privind acțiunile, pentru fiecare dintre emitenții titlurilor în cauză;</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p)</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 xml:space="preserve">În cazul în care o parte importantă din activele subiacente sunt garantate cu bunuri imobiliare, un raport de evaluare a acestor bunuri, precum </w:t>
            </w:r>
            <w:r w:rsidRPr="00005B72">
              <w:rPr>
                <w:rFonts w:ascii="Times New Roman" w:hAnsi="Times New Roman"/>
                <w:lang w:val="ro-RO"/>
              </w:rPr>
              <w:t>și a fluxurilor de numerar/venituri aferente acestora.</w:t>
            </w:r>
          </w:p>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C601D3">
              <w:rPr>
                <w:rFonts w:ascii="Times New Roman" w:hAnsi="Times New Roman"/>
                <w:lang w:val="ro-RO"/>
              </w:rPr>
              <w:t>(Această obligație nu se aplică în cazul în care titlurile emise sunt garantate cu împrumuturi imobiliare garantate prin ipoteci, dacă nu s-a făcut o reevaluare a bunurilor ipotecate în scopul emisiunii și dacă se indică expres că evaluările citate au fost efectuate la data împrumutului ipotecar inițial);</w:t>
            </w:r>
          </w:p>
        </w:tc>
      </w:tr>
      <w:tr w:rsidR="00161C0F" w:rsidRPr="009E2893" w:rsidTr="00684656">
        <w:trPr>
          <w:trHeight w:val="1716"/>
        </w:trPr>
        <w:tc>
          <w:tcPr>
            <w:tcW w:w="256"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3)</w:t>
            </w:r>
          </w:p>
          <w:p w:rsidR="00161C0F" w:rsidRPr="00A053D8" w:rsidRDefault="00161C0F" w:rsidP="00684656">
            <w:pPr>
              <w:pStyle w:val="NoSpacing"/>
              <w:widowControl w:val="0"/>
              <w:autoSpaceDE w:val="0"/>
              <w:autoSpaceDN w:val="0"/>
              <w:adjustRightInd w:val="0"/>
              <w:ind w:left="142"/>
              <w:jc w:val="both"/>
              <w:rPr>
                <w:rFonts w:ascii="Times New Roman" w:hAnsi="Times New Roman"/>
                <w:lang w:val="ro-RO"/>
              </w:rPr>
            </w:pPr>
          </w:p>
        </w:tc>
        <w:tc>
          <w:tcPr>
            <w:tcW w:w="4744"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005B72">
              <w:rPr>
                <w:rFonts w:ascii="Times New Roman" w:hAnsi="Times New Roman"/>
                <w:lang w:val="ro-RO"/>
              </w:rPr>
              <w:t>În cazul în care emisiunea este garantată de un grup de active subiacente gestionate activ:</w:t>
            </w:r>
          </w:p>
          <w:p w:rsidR="00161C0F" w:rsidRPr="008025B6"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C601D3">
              <w:rPr>
                <w:rFonts w:ascii="Times New Roman" w:hAnsi="Times New Roman"/>
                <w:lang w:val="ro-RO"/>
              </w:rPr>
              <w:t>a) informații echivalente cu cele prevăzute la pct.2 subp</w:t>
            </w:r>
            <w:r w:rsidRPr="008025B6">
              <w:rPr>
                <w:rFonts w:ascii="Times New Roman" w:hAnsi="Times New Roman"/>
                <w:lang w:val="ro-RO"/>
              </w:rPr>
              <w:t>ct.1</w:t>
            </w:r>
            <w:r>
              <w:rPr>
                <w:rFonts w:ascii="Times New Roman" w:hAnsi="Times New Roman"/>
                <w:lang w:val="ro-RO"/>
              </w:rPr>
              <w:t>)</w:t>
            </w:r>
            <w:r w:rsidRPr="008025B6">
              <w:rPr>
                <w:rFonts w:ascii="Times New Roman" w:hAnsi="Times New Roman"/>
                <w:lang w:val="ro-RO"/>
              </w:rPr>
              <w:t xml:space="preserve"> și 2</w:t>
            </w:r>
            <w:r>
              <w:rPr>
                <w:rFonts w:ascii="Times New Roman" w:hAnsi="Times New Roman"/>
                <w:lang w:val="ro-RO"/>
              </w:rPr>
              <w:t>)</w:t>
            </w:r>
            <w:r w:rsidRPr="008025B6">
              <w:rPr>
                <w:rFonts w:ascii="Times New Roman" w:hAnsi="Times New Roman"/>
                <w:lang w:val="ro-RO"/>
              </w:rPr>
              <w:t xml:space="preserve"> pentru a permite o evaluare a naturii, calității, caracterului suficient și a lichidității activelor incluse în portofoliul subiacent al emisiunii;</w:t>
            </w:r>
          </w:p>
          <w:p w:rsidR="00161C0F" w:rsidRPr="00E42DD5"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8025B6">
              <w:rPr>
                <w:rFonts w:ascii="Times New Roman" w:hAnsi="Times New Roman"/>
                <w:lang w:val="ro-RO"/>
              </w:rPr>
              <w:t>b) parametrii în cadrul cărora pot fi realizate investițiile, denumirea și o descriere a entității responsabile de gestiune, o d</w:t>
            </w:r>
            <w:r w:rsidRPr="00E42DD5">
              <w:rPr>
                <w:rFonts w:ascii="Times New Roman" w:hAnsi="Times New Roman"/>
                <w:lang w:val="ro-RO"/>
              </w:rPr>
              <w:t>escriere a expertizei și experienței entității în cauză, un rezumat al dispozițiilor care reglementează încetarea mandatului său și numirea unei alte entități de gestionare, precum și o descriere a relațiilor sale cu orice altă parte la emisiune.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4)</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 xml:space="preserve">În cazul în care un emitent are în vedere o nouă emisiune de titluri garantate cu aceleași active, o declarație care să menționeze acest lucru și să prezinte, cu excepția cazului în care noile titluri sunt fungibile cu </w:t>
            </w:r>
            <w:r w:rsidRPr="00005B72">
              <w:rPr>
                <w:rFonts w:ascii="Times New Roman" w:hAnsi="Times New Roman"/>
                <w:lang w:val="ro-RO"/>
              </w:rPr>
              <w:t>categoriile de titluri de împrumut existente sau subordonate acestora, modul de informare a deținătorilor titlurilor de împrumut existente în cauză.</w:t>
            </w:r>
          </w:p>
        </w:tc>
      </w:tr>
      <w:tr w:rsidR="00161C0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ind w:left="142" w:right="151"/>
              <w:jc w:val="center"/>
              <w:rPr>
                <w:rFonts w:ascii="Times New Roman" w:hAnsi="Times New Roman"/>
                <w:sz w:val="24"/>
                <w:szCs w:val="24"/>
                <w:lang w:val="ro-RO"/>
              </w:rPr>
            </w:pPr>
            <w:r w:rsidRPr="00A053D8">
              <w:rPr>
                <w:rFonts w:ascii="Times New Roman" w:hAnsi="Times New Roman"/>
                <w:b/>
                <w:bCs/>
                <w:lang w:val="ro-RO"/>
              </w:rPr>
              <w:t>3. STRUCTURĂ ȘI FLUXURI FINANCIARE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1)</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 descriere a structurii tranzacției</w:t>
            </w:r>
            <w:r w:rsidRPr="00005B72">
              <w:rPr>
                <w:rFonts w:ascii="Times New Roman" w:hAnsi="Times New Roman"/>
                <w:lang w:val="ro-RO"/>
              </w:rPr>
              <w:t xml:space="preserve"> de garantare, înso</w:t>
            </w:r>
            <w:r w:rsidRPr="00C601D3">
              <w:rPr>
                <w:rFonts w:ascii="Times New Roman" w:hAnsi="Times New Roman"/>
                <w:lang w:val="ro-RO"/>
              </w:rPr>
              <w:t>țită, după caz, de o organigramă.</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2)</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 descriere a entităților participante la emisiune și a funcțiilor pe care le vor îndeplini.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3)</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 descriere a metodei și precizare</w:t>
            </w:r>
            <w:r w:rsidRPr="00005B72">
              <w:rPr>
                <w:rFonts w:ascii="Times New Roman" w:hAnsi="Times New Roman"/>
                <w:lang w:val="ro-RO"/>
              </w:rPr>
              <w:t xml:space="preserve"> a datei vânzării, transferului, novației sau cesiunii, către emitent, a activelor sau </w:t>
            </w:r>
            <w:r w:rsidRPr="00C601D3">
              <w:rPr>
                <w:rFonts w:ascii="Times New Roman" w:hAnsi="Times New Roman"/>
                <w:lang w:val="ro-RO"/>
              </w:rPr>
              <w:t>a oricărui drept și a oricărei obligații conexe activelor în cauză sau, după caz, o explicație a modului în care fondurile obținute prin emisiune vor fi integral investite de emitent și precizarea termenului de realizare a investiției.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4)</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 descriere a fluxurilor fi</w:t>
            </w:r>
            <w:r w:rsidRPr="00005B72">
              <w:rPr>
                <w:rFonts w:ascii="Times New Roman" w:hAnsi="Times New Roman"/>
                <w:lang w:val="ro-RO"/>
              </w:rPr>
              <w:t>nanciare, indicând, în special:</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a)</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modul în care fluxurile de numerar conexe activelor subiacente îi vor permite emitentului să își onoreze obligațiile față de deținătorii de</w:t>
            </w:r>
            <w:r w:rsidRPr="00005B72">
              <w:rPr>
                <w:rFonts w:ascii="Times New Roman" w:hAnsi="Times New Roman"/>
                <w:lang w:val="ro-RO"/>
              </w:rPr>
              <w:t xml:space="preserve"> obligațiuni</w:t>
            </w:r>
            <w:r w:rsidRPr="00C601D3">
              <w:rPr>
                <w:rFonts w:ascii="Times New Roman" w:hAnsi="Times New Roman"/>
                <w:lang w:val="ro-RO"/>
              </w:rPr>
              <w:t>, precum și, după caz, un program de plăți și o descriere a ipotezelor subiacente;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b)</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eventualele ameliorări ale cotei de credit, momentele în care s-ar putea produce deficite semnificative de lichiditate, sursele de lichidități suplimentare disponibile și dispozițiile prevăzute pentru acoperirea riscurilor de nep</w:t>
            </w:r>
            <w:r w:rsidRPr="00005B72">
              <w:rPr>
                <w:rFonts w:ascii="Times New Roman" w:hAnsi="Times New Roman"/>
                <w:lang w:val="ro-RO"/>
              </w:rPr>
              <w:t>lată a dobânzilor/capitalului;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c)</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fără a aduce atingere</w:t>
            </w:r>
            <w:r w:rsidRPr="00005B72">
              <w:rPr>
                <w:rFonts w:ascii="Times New Roman" w:hAnsi="Times New Roman"/>
                <w:lang w:val="ro-RO"/>
              </w:rPr>
              <w:t xml:space="preserve"> subpct.</w:t>
            </w:r>
            <w:r w:rsidRPr="00C601D3">
              <w:rPr>
                <w:rFonts w:ascii="Times New Roman" w:hAnsi="Times New Roman"/>
                <w:lang w:val="ro-RO"/>
              </w:rPr>
              <w:t>4</w:t>
            </w:r>
            <w:r>
              <w:rPr>
                <w:rFonts w:ascii="Times New Roman" w:hAnsi="Times New Roman"/>
                <w:lang w:val="ro-RO"/>
              </w:rPr>
              <w:t>)</w:t>
            </w:r>
            <w:r w:rsidRPr="00C601D3">
              <w:rPr>
                <w:rFonts w:ascii="Times New Roman" w:hAnsi="Times New Roman"/>
                <w:lang w:val="ro-RO"/>
              </w:rPr>
              <w:t xml:space="preserve"> lit.b), o descriere a eventualelor împrumuturi subordonate;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d)</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parametri de investiții pentru excedentele temporare de lichidități și părțile responsabile pentru investițiile în cauză;</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ind w:right="-156"/>
              <w:jc w:val="both"/>
              <w:rPr>
                <w:rFonts w:ascii="Times New Roman" w:hAnsi="Times New Roman"/>
                <w:sz w:val="24"/>
                <w:szCs w:val="24"/>
                <w:lang w:val="ro-RO"/>
              </w:rPr>
            </w:pPr>
            <w:r w:rsidRPr="00A053D8">
              <w:rPr>
                <w:rFonts w:ascii="Times New Roman" w:hAnsi="Times New Roman"/>
                <w:bCs/>
                <w:lang w:val="ro-RO"/>
              </w:rPr>
              <w:t>e)</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modalitățile de încasare a plăților pentru activele subiacente;</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ind w:right="-156"/>
              <w:jc w:val="both"/>
              <w:rPr>
                <w:rFonts w:ascii="Times New Roman" w:hAnsi="Times New Roman"/>
                <w:sz w:val="24"/>
                <w:szCs w:val="24"/>
                <w:lang w:val="ro-RO"/>
              </w:rPr>
            </w:pPr>
            <w:r w:rsidRPr="00A053D8">
              <w:rPr>
                <w:rFonts w:ascii="Times New Roman" w:hAnsi="Times New Roman"/>
                <w:bCs/>
                <w:lang w:val="ro-RO"/>
              </w:rPr>
              <w:t>f)</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ordinea de prioritate a plăților efectuate de către emitent deținătorilor titlurilor în cauză;</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Cs/>
                <w:lang w:val="ro-RO"/>
              </w:rPr>
              <w:t>g)</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orice altă dispoziție de care depinde plata dobânzii și a capitalului către investitori;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5)</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D</w:t>
            </w:r>
            <w:r w:rsidRPr="00005B72">
              <w:rPr>
                <w:rFonts w:ascii="Times New Roman" w:hAnsi="Times New Roman"/>
                <w:lang w:val="ro-RO"/>
              </w:rPr>
              <w:t xml:space="preserve">enumirea, adresa și activitățile economice importante ale instituțiilor care sunt la originea activelor </w:t>
            </w:r>
            <w:r w:rsidRPr="00005B72">
              <w:rPr>
                <w:rFonts w:ascii="Times New Roman" w:hAnsi="Times New Roman"/>
                <w:lang w:val="ro-RO"/>
              </w:rPr>
              <w:lastRenderedPageBreak/>
              <w:t>subiacente</w:t>
            </w:r>
            <w:r w:rsidRPr="00C601D3">
              <w:rPr>
                <w:rFonts w:ascii="Times New Roman" w:hAnsi="Times New Roman"/>
                <w:lang w:val="ro-RO"/>
              </w:rPr>
              <w:t>.</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lastRenderedPageBreak/>
              <w:t>6)</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E42DD5"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 xml:space="preserve">În cazul în care </w:t>
            </w:r>
            <w:r w:rsidRPr="00005B72">
              <w:rPr>
                <w:rFonts w:ascii="Times New Roman" w:hAnsi="Times New Roman"/>
                <w:lang w:val="ro-RO"/>
              </w:rPr>
              <w:t>plata dobâ</w:t>
            </w:r>
            <w:r w:rsidRPr="00C601D3">
              <w:rPr>
                <w:rFonts w:ascii="Times New Roman" w:hAnsi="Times New Roman"/>
                <w:lang w:val="ro-RO"/>
              </w:rPr>
              <w:t>nzilor și rambursarea titlurilor sunt corelate cu performanța sau creditul altor active care nu aparțin emitentului, se menționează obligatoriu informațiile prevăzute la</w:t>
            </w:r>
            <w:r w:rsidRPr="008025B6">
              <w:rPr>
                <w:rFonts w:ascii="Times New Roman" w:hAnsi="Times New Roman"/>
                <w:lang w:val="ro-RO"/>
              </w:rPr>
              <w:t xml:space="preserve"> pct.2 subpct.</w:t>
            </w:r>
            <w:r w:rsidRPr="00E42DD5">
              <w:rPr>
                <w:rFonts w:ascii="Times New Roman" w:hAnsi="Times New Roman"/>
                <w:lang w:val="ro-RO"/>
              </w:rPr>
              <w:t>2</w:t>
            </w:r>
            <w:r>
              <w:rPr>
                <w:rFonts w:ascii="Times New Roman" w:hAnsi="Times New Roman"/>
                <w:lang w:val="ro-RO"/>
              </w:rPr>
              <w:t>)</w:t>
            </w:r>
            <w:r w:rsidRPr="00E42DD5">
              <w:rPr>
                <w:rFonts w:ascii="Times New Roman" w:hAnsi="Times New Roman"/>
                <w:lang w:val="ro-RO"/>
              </w:rPr>
              <w:t xml:space="preserve"> și 3</w:t>
            </w:r>
            <w:r>
              <w:rPr>
                <w:rFonts w:ascii="Times New Roman" w:hAnsi="Times New Roman"/>
                <w:lang w:val="ro-RO"/>
              </w:rPr>
              <w:t>)</w:t>
            </w:r>
            <w:r w:rsidRPr="00E42DD5">
              <w:rPr>
                <w:rFonts w:ascii="Times New Roman" w:hAnsi="Times New Roman"/>
                <w:lang w:val="ro-RO"/>
              </w:rPr>
              <w:t>.</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7)</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Denumirea, adresa și activitățile economice importante ale administratorului, ale agentului de calcul sau ale persoanelor care au o misiune echivalentă și un rezumat</w:t>
            </w:r>
            <w:r w:rsidRPr="00005B72">
              <w:rPr>
                <w:rFonts w:ascii="Times New Roman" w:hAnsi="Times New Roman"/>
                <w:lang w:val="ro-RO"/>
              </w:rPr>
              <w:t xml:space="preserve"> al responsabilităților lor, al relațiilor lor cu instituția care a creat sau care se află la originea activelor subiacente, precum și al dispozițiilor care reglementează încetarea mandatului lor și numirea unui nou administrator sau a unui nou agent de calcul.</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8)</w:t>
            </w: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005B72" w:rsidRDefault="00161C0F" w:rsidP="00684656">
            <w:pPr>
              <w:pStyle w:val="NoSpacing"/>
              <w:widowControl w:val="0"/>
              <w:autoSpaceDE w:val="0"/>
              <w:autoSpaceDN w:val="0"/>
              <w:adjustRightInd w:val="0"/>
              <w:ind w:right="151"/>
              <w:jc w:val="both"/>
              <w:rPr>
                <w:rFonts w:ascii="Times New Roman" w:hAnsi="Times New Roman"/>
                <w:vanish/>
                <w:sz w:val="24"/>
                <w:szCs w:val="24"/>
                <w:lang w:val="ro-RO"/>
              </w:rPr>
            </w:pPr>
            <w:r w:rsidRPr="00A053D8">
              <w:rPr>
                <w:rFonts w:ascii="Times New Roman" w:hAnsi="Times New Roman"/>
                <w:lang w:val="ro-RO"/>
              </w:rPr>
              <w:t>Denumirea și adresa, precum și o scurtă descriere a băncilor la care sunt deschise principalele conturi pentru operațiune.</w:t>
            </w:r>
            <w:r w:rsidRPr="00005B72">
              <w:rPr>
                <w:rFonts w:ascii="Times New Roman" w:hAnsi="Times New Roman"/>
                <w:lang w:val="ro-RO"/>
              </w:rPr>
              <w:t xml:space="preserve"> </w:t>
            </w:r>
          </w:p>
          <w:p w:rsidR="00161C0F" w:rsidRPr="00C601D3" w:rsidRDefault="00161C0F" w:rsidP="00684656">
            <w:pPr>
              <w:pStyle w:val="NoSpacing"/>
              <w:widowControl w:val="0"/>
              <w:autoSpaceDE w:val="0"/>
              <w:autoSpaceDN w:val="0"/>
              <w:adjustRightInd w:val="0"/>
              <w:ind w:left="142" w:right="151"/>
              <w:jc w:val="both"/>
              <w:rPr>
                <w:rFonts w:ascii="Times New Roman" w:hAnsi="Times New Roman"/>
                <w:sz w:val="24"/>
                <w:szCs w:val="24"/>
                <w:lang w:val="ro-RO"/>
              </w:rPr>
            </w:pPr>
          </w:p>
        </w:tc>
      </w:tr>
      <w:tr w:rsidR="00161C0F"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ind w:left="142" w:right="151"/>
              <w:jc w:val="center"/>
              <w:rPr>
                <w:rFonts w:ascii="Times New Roman" w:hAnsi="Times New Roman"/>
                <w:sz w:val="24"/>
                <w:szCs w:val="24"/>
                <w:lang w:val="ro-RO"/>
              </w:rPr>
            </w:pPr>
            <w:r w:rsidRPr="00A053D8">
              <w:rPr>
                <w:rFonts w:ascii="Times New Roman" w:hAnsi="Times New Roman"/>
                <w:b/>
                <w:bCs/>
                <w:lang w:val="ro-RO"/>
              </w:rPr>
              <w:t>4. DECLARAȚII ULTERIOARE EMISIUNII</w:t>
            </w:r>
          </w:p>
        </w:tc>
      </w:tr>
      <w:tr w:rsidR="00161C0F" w:rsidRPr="009E2893" w:rsidTr="00684656">
        <w:tc>
          <w:tcPr>
            <w:tcW w:w="25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A053D8" w:rsidRDefault="00161C0F" w:rsidP="00684656">
            <w:pPr>
              <w:pStyle w:val="NoSpacing"/>
              <w:widowControl w:val="0"/>
              <w:autoSpaceDE w:val="0"/>
              <w:autoSpaceDN w:val="0"/>
              <w:adjustRightInd w:val="0"/>
              <w:jc w:val="both"/>
              <w:rPr>
                <w:rFonts w:ascii="Times New Roman" w:hAnsi="Times New Roman"/>
                <w:b/>
                <w:lang w:val="ro-RO"/>
              </w:rPr>
            </w:pPr>
          </w:p>
        </w:tc>
        <w:tc>
          <w:tcPr>
            <w:tcW w:w="4744"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161C0F" w:rsidRPr="00C601D3" w:rsidRDefault="00161C0F" w:rsidP="00684656">
            <w:pPr>
              <w:pStyle w:val="NoSpacing"/>
              <w:widowControl w:val="0"/>
              <w:autoSpaceDE w:val="0"/>
              <w:autoSpaceDN w:val="0"/>
              <w:adjustRightInd w:val="0"/>
              <w:ind w:right="151"/>
              <w:jc w:val="both"/>
              <w:rPr>
                <w:rFonts w:ascii="Times New Roman" w:hAnsi="Times New Roman"/>
                <w:sz w:val="24"/>
                <w:szCs w:val="24"/>
                <w:lang w:val="ro-RO"/>
              </w:rPr>
            </w:pPr>
            <w:r w:rsidRPr="00A053D8">
              <w:rPr>
                <w:rFonts w:ascii="Times New Roman" w:hAnsi="Times New Roman"/>
                <w:lang w:val="ro-RO"/>
              </w:rPr>
              <w:t>O indicație în prospect privind eventual</w:t>
            </w:r>
            <w:r w:rsidRPr="00005B72">
              <w:rPr>
                <w:rFonts w:ascii="Times New Roman" w:hAnsi="Times New Roman"/>
                <w:lang w:val="ro-RO"/>
              </w:rPr>
              <w:t xml:space="preserve">a intenție a emitentului de a furniza, </w:t>
            </w:r>
            <w:r w:rsidRPr="00C601D3">
              <w:rPr>
                <w:rFonts w:ascii="Times New Roman" w:hAnsi="Times New Roman"/>
                <w:lang w:val="ro-RO"/>
              </w:rPr>
              <w:t>după emisiune, informații privind titlurile care urmează a fi admise la tranzacționare sau privind performanța activelor subiacente. Dacă are această intenție, emitentul precizează ce informații vor fi furnizate, locul în care vor putea fi obținute și frecvența cu care vor fi publicate.</w:t>
            </w:r>
          </w:p>
        </w:tc>
      </w:tr>
    </w:tbl>
    <w:p w:rsidR="00BA4EDD" w:rsidRPr="00161C0F" w:rsidRDefault="00BA4EDD">
      <w:pPr>
        <w:rPr>
          <w:lang w:val="en-GB"/>
        </w:rPr>
      </w:pPr>
    </w:p>
    <w:sectPr w:rsidR="00BA4EDD" w:rsidRPr="00161C0F"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61C0F"/>
    <w:rsid w:val="00161C0F"/>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0F"/>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1C0F"/>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161C0F"/>
    <w:rPr>
      <w:rFonts w:ascii="Calibri" w:eastAsia="Times New Roman" w:hAnsi="Calibri" w:cs="Times New Roman"/>
      <w:lang w:val="ru-RU" w:eastAsia="ru-RU"/>
    </w:rPr>
  </w:style>
  <w:style w:type="paragraph" w:customStyle="1" w:styleId="norm">
    <w:name w:val="norm"/>
    <w:basedOn w:val="Normal"/>
    <w:rsid w:val="00161C0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2018-05-21T13:16:00Z</dcterms:created>
  <dcterms:modified xsi:type="dcterms:W3CDTF">2018-05-21T13:16:00Z</dcterms:modified>
</cp:coreProperties>
</file>